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6A2" w:rsidRPr="00A846A2" w:rsidRDefault="00A846A2" w:rsidP="00A846A2">
      <w:pPr>
        <w:shd w:val="clear" w:color="auto" w:fill="FFFFFF"/>
        <w:spacing w:before="100" w:beforeAutospacing="1" w:after="100" w:afterAutospacing="1" w:line="240" w:lineRule="auto"/>
        <w:jc w:val="center"/>
        <w:outlineLvl w:val="1"/>
        <w:rPr>
          <w:rFonts w:eastAsia="Times New Roman" w:cstheme="minorHAnsi"/>
          <w:b/>
          <w:bCs/>
          <w:color w:val="0073E6"/>
          <w:sz w:val="28"/>
          <w:szCs w:val="28"/>
          <w:lang w:eastAsia="it-IT"/>
        </w:rPr>
      </w:pPr>
      <w:r w:rsidRPr="00A846A2">
        <w:rPr>
          <w:rFonts w:eastAsia="Times New Roman" w:cstheme="minorHAnsi"/>
          <w:b/>
          <w:bCs/>
          <w:color w:val="0073E6"/>
          <w:sz w:val="28"/>
          <w:szCs w:val="28"/>
          <w:lang w:eastAsia="it-IT"/>
        </w:rPr>
        <w:t>Bonus elettrico per disagio economico</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 </w:t>
      </w:r>
      <w:r w:rsidRPr="00A846A2">
        <w:rPr>
          <w:rFonts w:eastAsia="Times New Roman" w:cstheme="minorHAnsi"/>
          <w:b/>
          <w:bCs/>
          <w:color w:val="000000"/>
          <w:sz w:val="24"/>
          <w:szCs w:val="24"/>
          <w:lang w:eastAsia="it-IT"/>
        </w:rPr>
        <w:t>Dal 1° gennaio 2021 tutti i bonus sociali per disagio economico, tra cui quello elettrico,  saranno riconosciuti automaticamente ai cittadini/nuclei familiari che ne hanno diritto, senza che questi debbano presentare domanda</w:t>
      </w:r>
      <w:r w:rsidRPr="00A846A2">
        <w:rPr>
          <w:rFonts w:eastAsia="Times New Roman" w:cstheme="minorHAnsi"/>
          <w:b/>
          <w:bCs/>
          <w:color w:val="000000"/>
          <w:sz w:val="24"/>
          <w:szCs w:val="24"/>
          <w:lang w:eastAsia="it-IT"/>
        </w:rPr>
        <w:br/>
      </w:r>
      <w:r w:rsidRPr="00A846A2">
        <w:rPr>
          <w:rFonts w:eastAsia="Times New Roman" w:cstheme="minorHAnsi"/>
          <w:color w:val="000000"/>
          <w:sz w:val="24"/>
          <w:szCs w:val="24"/>
          <w:lang w:eastAsia="it-IT"/>
        </w:rPr>
        <w:t>come stabilito dal decreto legge 26 ottobre 2019 n. 124, convertito con modificazioni dalla legge 19 dicembre 2019, n. 157</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Le </w:t>
      </w:r>
      <w:bookmarkStart w:id="0" w:name="condizio"/>
      <w:bookmarkEnd w:id="0"/>
      <w:r w:rsidRPr="00A846A2">
        <w:rPr>
          <w:rFonts w:eastAsia="Times New Roman" w:cstheme="minorHAnsi"/>
          <w:color w:val="000000"/>
          <w:sz w:val="24"/>
          <w:szCs w:val="24"/>
          <w:lang w:eastAsia="it-IT"/>
        </w:rPr>
        <w:t>condizioni necessarie per avere diritto ai bonus per disagio economico non cambiano:</w:t>
      </w:r>
    </w:p>
    <w:p w:rsidR="00A846A2" w:rsidRPr="00A846A2" w:rsidRDefault="00A846A2" w:rsidP="00A846A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appartenere ad un nucleo familiare con indicatore ISEE non superiore a 8.265 euro, oppure</w:t>
      </w:r>
    </w:p>
    <w:p w:rsidR="00A846A2" w:rsidRPr="00A846A2" w:rsidRDefault="00A846A2" w:rsidP="00A846A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appartenere ad un nucleo familiare con almeno 4 figli a carico (famiglia numerosa) e indicatore ISEE non superiore a 20.000 euro, oppure</w:t>
      </w:r>
    </w:p>
    <w:p w:rsidR="00A846A2" w:rsidRPr="00A846A2" w:rsidRDefault="00A846A2" w:rsidP="00A846A2">
      <w:pPr>
        <w:numPr>
          <w:ilvl w:val="0"/>
          <w:numId w:val="1"/>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appa</w:t>
      </w:r>
      <w:r>
        <w:rPr>
          <w:rFonts w:eastAsia="Times New Roman" w:cstheme="minorHAnsi"/>
          <w:color w:val="000000"/>
          <w:sz w:val="24"/>
          <w:szCs w:val="24"/>
          <w:lang w:eastAsia="it-IT"/>
        </w:rPr>
        <w:t>rtenere ad un nucleo familiare t</w:t>
      </w:r>
      <w:r w:rsidRPr="00A846A2">
        <w:rPr>
          <w:rFonts w:eastAsia="Times New Roman" w:cstheme="minorHAnsi"/>
          <w:color w:val="000000"/>
          <w:sz w:val="24"/>
          <w:szCs w:val="24"/>
          <w:lang w:eastAsia="it-IT"/>
        </w:rPr>
        <w:t>itolare di Reddito di cittadinanza o Pensione di cittadinanza.</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Uno dei componenti  del nucleo familiare ISEE deve essere intestatario di un contratto di fornitura elettrica e/o gas e/o idrica con tariffa per usi domestici e attivo, oppure usufruire di una fornitura condominiale gas e/o idrica attiva</w:t>
      </w:r>
      <w:r w:rsidRPr="00A846A2">
        <w:rPr>
          <w:rFonts w:eastAsia="Times New Roman" w:cstheme="minorHAnsi"/>
          <w:color w:val="000000"/>
          <w:sz w:val="24"/>
          <w:szCs w:val="24"/>
          <w:lang w:eastAsia="it-IT"/>
        </w:rPr>
        <w:br/>
        <w:t>Ogni nucleo familiare ha diritto a un solo bonus per tipologia - elettrico, gas, idrico - per anno di competenza.</w:t>
      </w:r>
    </w:p>
    <w:p w:rsidR="00A846A2" w:rsidRPr="00A846A2" w:rsidRDefault="00A846A2" w:rsidP="00A846A2">
      <w:pPr>
        <w:shd w:val="clear" w:color="auto" w:fill="FFFFFF"/>
        <w:spacing w:before="100" w:beforeAutospacing="1" w:after="100" w:afterAutospacing="1" w:line="240" w:lineRule="auto"/>
        <w:outlineLvl w:val="2"/>
        <w:rPr>
          <w:rFonts w:eastAsia="Times New Roman" w:cstheme="minorHAnsi"/>
          <w:b/>
          <w:bCs/>
          <w:color w:val="000000"/>
          <w:sz w:val="24"/>
          <w:szCs w:val="24"/>
          <w:lang w:eastAsia="it-IT"/>
        </w:rPr>
      </w:pPr>
      <w:r w:rsidRPr="00A846A2">
        <w:rPr>
          <w:rFonts w:eastAsia="Times New Roman" w:cstheme="minorHAnsi"/>
          <w:b/>
          <w:bCs/>
          <w:color w:val="000000"/>
          <w:sz w:val="24"/>
          <w:szCs w:val="24"/>
          <w:lang w:eastAsia="it-IT"/>
        </w:rPr>
        <w:t>Cosa dovranno fare dal 2021 i cittadini per ottenere i bonus per disagio economico</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b/>
          <w:bCs/>
          <w:color w:val="000000"/>
          <w:sz w:val="24"/>
          <w:szCs w:val="24"/>
          <w:lang w:eastAsia="it-IT"/>
        </w:rPr>
        <w:t>Dal 1° gennaio 2021 gli interessati non dovranno più presentare la domanda per ottenere i bonus per disagio economico presso i Comuni o i CAF.</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Sarà sufficiente che ogni anno, a partire dal 2021, il cittadino/nucleo familiare presenti la </w:t>
      </w:r>
      <w:r w:rsidRPr="00A846A2">
        <w:rPr>
          <w:rFonts w:eastAsia="Times New Roman" w:cstheme="minorHAnsi"/>
          <w:b/>
          <w:bCs/>
          <w:color w:val="000000"/>
          <w:sz w:val="24"/>
          <w:szCs w:val="24"/>
          <w:lang w:eastAsia="it-IT"/>
        </w:rPr>
        <w:t>Dichiarazione Sostitutiva Unica</w:t>
      </w:r>
      <w:r w:rsidRPr="00A846A2">
        <w:rPr>
          <w:rFonts w:eastAsia="Times New Roman" w:cstheme="minorHAnsi"/>
          <w:color w:val="000000"/>
          <w:sz w:val="24"/>
          <w:szCs w:val="24"/>
          <w:lang w:eastAsia="it-IT"/>
        </w:rPr>
        <w:t> (DSU) per ottenere l'attestazione</w:t>
      </w:r>
      <w:r w:rsidRPr="00A846A2">
        <w:rPr>
          <w:rFonts w:eastAsia="Times New Roman" w:cstheme="minorHAnsi"/>
          <w:b/>
          <w:bCs/>
          <w:color w:val="000000"/>
          <w:sz w:val="24"/>
          <w:szCs w:val="24"/>
          <w:lang w:eastAsia="it-IT"/>
        </w:rPr>
        <w:t> ISEE</w:t>
      </w:r>
      <w:r w:rsidRPr="00A846A2">
        <w:rPr>
          <w:rFonts w:eastAsia="Times New Roman" w:cstheme="minorHAnsi"/>
          <w:color w:val="000000"/>
          <w:sz w:val="24"/>
          <w:szCs w:val="24"/>
          <w:lang w:eastAsia="it-IT"/>
        </w:rPr>
        <w:t> utile per le differenti prestazioni sociali agevolate (es.: assegno di maternità, mensa scolastica, bonus bebè ecc.)</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Se il nucleo familiare rientrerà in una delle </w:t>
      </w:r>
      <w:hyperlink r:id="rId5" w:anchor="condizio" w:history="1">
        <w:r w:rsidRPr="00A846A2">
          <w:rPr>
            <w:rFonts w:eastAsia="Times New Roman" w:cstheme="minorHAnsi"/>
            <w:color w:val="003B7F"/>
            <w:sz w:val="24"/>
            <w:szCs w:val="24"/>
            <w:u w:val="single"/>
            <w:lang w:eastAsia="it-IT"/>
          </w:rPr>
          <w:t>tre condizioni di disagio economico</w:t>
        </w:r>
      </w:hyperlink>
      <w:r w:rsidRPr="00A846A2">
        <w:rPr>
          <w:rFonts w:eastAsia="Times New Roman" w:cstheme="minorHAnsi"/>
          <w:color w:val="000000"/>
          <w:sz w:val="24"/>
          <w:szCs w:val="24"/>
          <w:lang w:eastAsia="it-IT"/>
        </w:rPr>
        <w:t> che danno diritto al bonus,  l'INPS invierà i suoi dati (nel rispetto della normativa sulla </w:t>
      </w:r>
      <w:r w:rsidRPr="00A846A2">
        <w:rPr>
          <w:rFonts w:eastAsia="Times New Roman" w:cstheme="minorHAnsi"/>
          <w:i/>
          <w:iCs/>
          <w:color w:val="000000"/>
          <w:sz w:val="24"/>
          <w:szCs w:val="24"/>
          <w:lang w:eastAsia="it-IT"/>
        </w:rPr>
        <w:t>privacy </w:t>
      </w:r>
      <w:r w:rsidRPr="00A846A2">
        <w:rPr>
          <w:rFonts w:eastAsia="Times New Roman" w:cstheme="minorHAnsi"/>
          <w:color w:val="000000"/>
          <w:sz w:val="24"/>
          <w:szCs w:val="24"/>
          <w:lang w:eastAsia="it-IT"/>
        </w:rPr>
        <w:t xml:space="preserve">e delle disposizioni che l'Autorità </w:t>
      </w:r>
      <w:proofErr w:type="spellStart"/>
      <w:r w:rsidRPr="00A846A2">
        <w:rPr>
          <w:rFonts w:eastAsia="Times New Roman" w:cstheme="minorHAnsi"/>
          <w:color w:val="000000"/>
          <w:sz w:val="24"/>
          <w:szCs w:val="24"/>
          <w:lang w:eastAsia="it-IT"/>
        </w:rPr>
        <w:t>stà</w:t>
      </w:r>
      <w:proofErr w:type="spellEnd"/>
      <w:r w:rsidRPr="00A846A2">
        <w:rPr>
          <w:rFonts w:eastAsia="Times New Roman" w:cstheme="minorHAnsi"/>
          <w:color w:val="000000"/>
          <w:sz w:val="24"/>
          <w:szCs w:val="24"/>
          <w:lang w:eastAsia="it-IT"/>
        </w:rPr>
        <w:t xml:space="preserve"> definendo in materia riconoscimento automatico dei bonus sociali per disagio economico) al </w:t>
      </w:r>
      <w:proofErr w:type="spellStart"/>
      <w:r w:rsidRPr="00A846A2">
        <w:rPr>
          <w:rFonts w:eastAsia="Times New Roman" w:cstheme="minorHAnsi"/>
          <w:color w:val="000000"/>
          <w:sz w:val="24"/>
          <w:szCs w:val="24"/>
          <w:lang w:eastAsia="it-IT"/>
        </w:rPr>
        <w:fldChar w:fldCharType="begin"/>
      </w:r>
      <w:r w:rsidRPr="00A846A2">
        <w:rPr>
          <w:rFonts w:eastAsia="Times New Roman" w:cstheme="minorHAnsi"/>
          <w:color w:val="000000"/>
          <w:sz w:val="24"/>
          <w:szCs w:val="24"/>
          <w:lang w:eastAsia="it-IT"/>
        </w:rPr>
        <w:instrText xml:space="preserve"> HYPERLINK "https://www.arera.it/it/consumatori/ele/bonusele_ec.htm" \l "sii" </w:instrText>
      </w:r>
      <w:r w:rsidRPr="00A846A2">
        <w:rPr>
          <w:rFonts w:eastAsia="Times New Roman" w:cstheme="minorHAnsi"/>
          <w:color w:val="000000"/>
          <w:sz w:val="24"/>
          <w:szCs w:val="24"/>
          <w:lang w:eastAsia="it-IT"/>
        </w:rPr>
        <w:fldChar w:fldCharType="separate"/>
      </w:r>
      <w:r w:rsidRPr="00A846A2">
        <w:rPr>
          <w:rFonts w:eastAsia="Times New Roman" w:cstheme="minorHAnsi"/>
          <w:color w:val="003B7F"/>
          <w:sz w:val="24"/>
          <w:szCs w:val="24"/>
          <w:u w:val="single"/>
          <w:lang w:eastAsia="it-IT"/>
        </w:rPr>
        <w:t>SII*</w:t>
      </w:r>
      <w:proofErr w:type="spellEnd"/>
      <w:r w:rsidRPr="00A846A2">
        <w:rPr>
          <w:rFonts w:eastAsia="Times New Roman" w:cstheme="minorHAnsi"/>
          <w:color w:val="000000"/>
          <w:sz w:val="24"/>
          <w:szCs w:val="24"/>
          <w:lang w:eastAsia="it-IT"/>
        </w:rPr>
        <w:fldChar w:fldCharType="end"/>
      </w:r>
      <w:r w:rsidRPr="00A846A2">
        <w:rPr>
          <w:rFonts w:eastAsia="Times New Roman" w:cstheme="minorHAnsi"/>
          <w:color w:val="000000"/>
          <w:sz w:val="24"/>
          <w:szCs w:val="24"/>
          <w:lang w:eastAsia="it-IT"/>
        </w:rPr>
        <w:t xml:space="preserve">, che </w:t>
      </w:r>
      <w:proofErr w:type="spellStart"/>
      <w:r w:rsidRPr="00A846A2">
        <w:rPr>
          <w:rFonts w:eastAsia="Times New Roman" w:cstheme="minorHAnsi"/>
          <w:color w:val="000000"/>
          <w:sz w:val="24"/>
          <w:szCs w:val="24"/>
          <w:lang w:eastAsia="it-IT"/>
        </w:rPr>
        <w:t>incrocierà</w:t>
      </w:r>
      <w:proofErr w:type="spellEnd"/>
      <w:r w:rsidRPr="00A846A2">
        <w:rPr>
          <w:rFonts w:eastAsia="Times New Roman" w:cstheme="minorHAnsi"/>
          <w:color w:val="000000"/>
          <w:sz w:val="24"/>
          <w:szCs w:val="24"/>
          <w:lang w:eastAsia="it-IT"/>
        </w:rPr>
        <w:t xml:space="preserve"> i dati ricevuti con quelli relativi alle forniture di elettricità, gas e acqua, permettendo di erogare automaticamente i bonus agli aventi diritto.</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b/>
          <w:bCs/>
          <w:color w:val="000000"/>
          <w:sz w:val="24"/>
          <w:szCs w:val="24"/>
          <w:lang w:eastAsia="it-IT"/>
        </w:rPr>
        <w:t>Eventuali domande presentate dal 1° gennaio 2021 in poi quindi non potranno essere accettate dai Comuni e dai CAF e non saranno in ogni caso valide per ottenere il bonus.</w:t>
      </w:r>
    </w:p>
    <w:p w:rsidR="00A846A2" w:rsidRPr="00A846A2" w:rsidRDefault="00A846A2" w:rsidP="00A846A2">
      <w:pPr>
        <w:shd w:val="clear" w:color="auto" w:fill="FFFFFF"/>
        <w:spacing w:before="100" w:beforeAutospacing="1" w:after="100" w:afterAutospacing="1" w:line="240" w:lineRule="auto"/>
        <w:outlineLvl w:val="2"/>
        <w:rPr>
          <w:rFonts w:eastAsia="Times New Roman" w:cstheme="minorHAnsi"/>
          <w:b/>
          <w:bCs/>
          <w:color w:val="000000"/>
          <w:sz w:val="24"/>
          <w:szCs w:val="24"/>
          <w:lang w:eastAsia="it-IT"/>
        </w:rPr>
      </w:pPr>
      <w:r w:rsidRPr="00A846A2">
        <w:rPr>
          <w:rFonts w:eastAsia="Times New Roman" w:cstheme="minorHAnsi"/>
          <w:b/>
          <w:bCs/>
          <w:color w:val="000000"/>
          <w:sz w:val="24"/>
          <w:szCs w:val="24"/>
          <w:lang w:eastAsia="it-IT"/>
        </w:rPr>
        <w:t>Quali bonus verranno erogati automaticamente</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Ai cittadini/nuclei familiari aventi diritto verranno erogati automaticamente (ossia senza necessità di presentare domanda) :</w:t>
      </w:r>
    </w:p>
    <w:p w:rsidR="00A846A2" w:rsidRPr="00A846A2" w:rsidRDefault="00A846A2" w:rsidP="00A846A2">
      <w:pPr>
        <w:numPr>
          <w:ilvl w:val="0"/>
          <w:numId w:val="2"/>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b/>
          <w:bCs/>
          <w:color w:val="000000"/>
          <w:sz w:val="24"/>
          <w:szCs w:val="24"/>
          <w:lang w:eastAsia="it-IT"/>
        </w:rPr>
        <w:t>il bonus elettrico per disagio economico,</w:t>
      </w:r>
    </w:p>
    <w:p w:rsidR="00A846A2" w:rsidRPr="00A846A2" w:rsidRDefault="00A846A2" w:rsidP="00A846A2">
      <w:pPr>
        <w:numPr>
          <w:ilvl w:val="0"/>
          <w:numId w:val="2"/>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b/>
          <w:bCs/>
          <w:color w:val="000000"/>
          <w:sz w:val="24"/>
          <w:szCs w:val="24"/>
          <w:lang w:eastAsia="it-IT"/>
        </w:rPr>
        <w:t>il bonus gas</w:t>
      </w:r>
    </w:p>
    <w:p w:rsidR="00A846A2" w:rsidRPr="00A846A2" w:rsidRDefault="00A846A2" w:rsidP="00A846A2">
      <w:pPr>
        <w:numPr>
          <w:ilvl w:val="0"/>
          <w:numId w:val="2"/>
        </w:num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b/>
          <w:bCs/>
          <w:color w:val="000000"/>
          <w:sz w:val="24"/>
          <w:szCs w:val="24"/>
          <w:lang w:eastAsia="it-IT"/>
        </w:rPr>
        <w:t>il bonus idrico</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8"/>
          <w:szCs w:val="28"/>
          <w:lang w:eastAsia="it-IT"/>
        </w:rPr>
        <w:lastRenderedPageBreak/>
        <w:t>Non verrà</w:t>
      </w:r>
      <w:r w:rsidRPr="00A846A2">
        <w:rPr>
          <w:rFonts w:eastAsia="Times New Roman" w:cstheme="minorHAnsi"/>
          <w:color w:val="000000"/>
          <w:sz w:val="24"/>
          <w:szCs w:val="24"/>
          <w:lang w:eastAsia="it-IT"/>
        </w:rPr>
        <w:t xml:space="preserve"> invece per il momento erogato automaticamente il</w:t>
      </w:r>
      <w:r w:rsidRPr="00A846A2">
        <w:rPr>
          <w:rFonts w:eastAsia="Times New Roman" w:cstheme="minorHAnsi"/>
          <w:b/>
          <w:bCs/>
          <w:color w:val="000000"/>
          <w:sz w:val="24"/>
          <w:szCs w:val="24"/>
          <w:lang w:eastAsia="it-IT"/>
        </w:rPr>
        <w:t> </w:t>
      </w:r>
      <w:r>
        <w:rPr>
          <w:rFonts w:eastAsia="Times New Roman" w:cstheme="minorHAnsi"/>
          <w:b/>
          <w:bCs/>
          <w:color w:val="000000"/>
          <w:sz w:val="24"/>
          <w:szCs w:val="24"/>
          <w:lang w:eastAsia="it-IT"/>
        </w:rPr>
        <w:t xml:space="preserve">  </w:t>
      </w:r>
      <w:r w:rsidRPr="00A846A2">
        <w:rPr>
          <w:rFonts w:eastAsia="Times New Roman" w:cstheme="minorHAnsi"/>
          <w:b/>
          <w:bCs/>
          <w:color w:val="000000"/>
          <w:sz w:val="32"/>
          <w:szCs w:val="32"/>
          <w:lang w:eastAsia="it-IT"/>
        </w:rPr>
        <w:t>bonus per disagio fisico</w:t>
      </w:r>
      <w:r w:rsidRPr="00A846A2">
        <w:rPr>
          <w:rFonts w:eastAsia="Times New Roman" w:cstheme="minorHAnsi"/>
          <w:b/>
          <w:bCs/>
          <w:color w:val="000000"/>
          <w:sz w:val="24"/>
          <w:szCs w:val="24"/>
          <w:lang w:eastAsia="it-IT"/>
        </w:rPr>
        <w:t>.</w:t>
      </w:r>
      <w:r w:rsidRPr="00A846A2">
        <w:rPr>
          <w:rFonts w:eastAsia="Times New Roman" w:cstheme="minorHAnsi"/>
          <w:color w:val="000000"/>
          <w:sz w:val="24"/>
          <w:szCs w:val="24"/>
          <w:lang w:eastAsia="it-IT"/>
        </w:rPr>
        <w:t> Pertanto dal 1° gennaio 2021 nulla cambia per le modalità di accesso a tale bonus: i soggetti che si trovano in gravi condizioni di salute e che utilizzano apparecchiature elettromedicali per la loro sopravvivenza dovranno continuare a farne richiesta presso i Comuni o i CAF abilitati.</w:t>
      </w:r>
    </w:p>
    <w:p w:rsidR="00A846A2" w:rsidRPr="00A846A2" w:rsidRDefault="00A846A2" w:rsidP="00A846A2">
      <w:pPr>
        <w:shd w:val="clear" w:color="auto" w:fill="FFFFFF"/>
        <w:spacing w:before="100" w:beforeAutospacing="1" w:after="100" w:afterAutospacing="1" w:line="240" w:lineRule="auto"/>
        <w:outlineLvl w:val="2"/>
        <w:rPr>
          <w:rFonts w:eastAsia="Times New Roman" w:cstheme="minorHAnsi"/>
          <w:b/>
          <w:bCs/>
          <w:color w:val="000000"/>
          <w:sz w:val="24"/>
          <w:szCs w:val="24"/>
          <w:lang w:eastAsia="it-IT"/>
        </w:rPr>
      </w:pPr>
      <w:r w:rsidRPr="00A846A2">
        <w:rPr>
          <w:rFonts w:eastAsia="Times New Roman" w:cstheme="minorHAnsi"/>
          <w:b/>
          <w:bCs/>
          <w:color w:val="000000"/>
          <w:sz w:val="24"/>
          <w:szCs w:val="24"/>
          <w:lang w:eastAsia="it-IT"/>
        </w:rPr>
        <w:t>Quanto vale il bonus elettrico</w:t>
      </w:r>
    </w:p>
    <w:p w:rsidR="00A846A2" w:rsidRPr="00A846A2" w:rsidRDefault="00A846A2" w:rsidP="00A846A2">
      <w:pPr>
        <w:shd w:val="clear" w:color="auto" w:fill="FFFFFF"/>
        <w:spacing w:after="240"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Il valore del bonus dipende dal numero di componenti della famiglia anagrafica ed è aggiornato annualmente dall'Autorità.</w:t>
      </w:r>
      <w:r w:rsidRPr="00A846A2">
        <w:rPr>
          <w:rFonts w:eastAsia="Times New Roman" w:cstheme="minorHAnsi"/>
          <w:color w:val="000000"/>
          <w:sz w:val="24"/>
          <w:szCs w:val="24"/>
          <w:lang w:eastAsia="it-IT"/>
        </w:rPr>
        <w:br/>
        <w:t>Per l'anno 2021 questi sono i valori :</w:t>
      </w:r>
    </w:p>
    <w:tbl>
      <w:tblPr>
        <w:tblW w:w="0" w:type="auto"/>
        <w:tblCellSpacing w:w="25" w:type="dxa"/>
        <w:tblCellMar>
          <w:top w:w="50" w:type="dxa"/>
          <w:left w:w="300" w:type="dxa"/>
          <w:bottom w:w="50" w:type="dxa"/>
          <w:right w:w="50" w:type="dxa"/>
        </w:tblCellMar>
        <w:tblLook w:val="04A0"/>
      </w:tblPr>
      <w:tblGrid>
        <w:gridCol w:w="4509"/>
        <w:gridCol w:w="966"/>
      </w:tblGrid>
      <w:tr w:rsidR="00A846A2" w:rsidRPr="00A846A2" w:rsidTr="00A846A2">
        <w:trPr>
          <w:tblCellSpacing w:w="25" w:type="dxa"/>
        </w:trPr>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Numerosità familiare 1-2 componenti</w:t>
            </w:r>
          </w:p>
        </w:tc>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€ 128</w:t>
            </w:r>
          </w:p>
        </w:tc>
      </w:tr>
      <w:tr w:rsidR="00A846A2" w:rsidRPr="00A846A2" w:rsidTr="00A846A2">
        <w:trPr>
          <w:tblCellSpacing w:w="25" w:type="dxa"/>
        </w:trPr>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Numerosità familiare 3-4 componenti</w:t>
            </w:r>
          </w:p>
        </w:tc>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€ 151</w:t>
            </w:r>
          </w:p>
        </w:tc>
      </w:tr>
      <w:tr w:rsidR="00A846A2" w:rsidRPr="00A846A2" w:rsidTr="00A846A2">
        <w:trPr>
          <w:tblCellSpacing w:w="25" w:type="dxa"/>
        </w:trPr>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Numerosità familiare oltre 4 componenti</w:t>
            </w:r>
          </w:p>
        </w:tc>
        <w:tc>
          <w:tcPr>
            <w:tcW w:w="0" w:type="auto"/>
            <w:shd w:val="clear" w:color="auto" w:fill="DCDCDC"/>
            <w:vAlign w:val="center"/>
            <w:hideMark/>
          </w:tcPr>
          <w:p w:rsidR="00A846A2" w:rsidRPr="00A846A2" w:rsidRDefault="00A846A2" w:rsidP="00A846A2">
            <w:pPr>
              <w:spacing w:after="0" w:line="240" w:lineRule="auto"/>
              <w:rPr>
                <w:rFonts w:eastAsia="Times New Roman" w:cstheme="minorHAnsi"/>
                <w:sz w:val="24"/>
                <w:szCs w:val="24"/>
                <w:lang w:eastAsia="it-IT"/>
              </w:rPr>
            </w:pPr>
            <w:r w:rsidRPr="00A846A2">
              <w:rPr>
                <w:rFonts w:eastAsia="Times New Roman" w:cstheme="minorHAnsi"/>
                <w:b/>
                <w:bCs/>
                <w:sz w:val="24"/>
                <w:szCs w:val="24"/>
                <w:lang w:eastAsia="it-IT"/>
              </w:rPr>
              <w:t>€ 177</w:t>
            </w:r>
          </w:p>
        </w:tc>
      </w:tr>
    </w:tbl>
    <w:p w:rsidR="00A846A2" w:rsidRPr="00A846A2" w:rsidRDefault="00A846A2" w:rsidP="00A846A2">
      <w:pPr>
        <w:shd w:val="clear" w:color="auto" w:fill="FFFFFF"/>
        <w:spacing w:after="0"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br/>
      </w:r>
      <w:hyperlink r:id="rId6" w:history="1">
        <w:r w:rsidRPr="00A846A2">
          <w:rPr>
            <w:rFonts w:eastAsia="Times New Roman" w:cstheme="minorHAnsi"/>
            <w:color w:val="003B7F"/>
            <w:sz w:val="24"/>
            <w:szCs w:val="24"/>
            <w:u w:val="single"/>
            <w:lang w:eastAsia="it-IT"/>
          </w:rPr>
          <w:t>valori per gli anni precedenti (2008/2020)</w:t>
        </w:r>
      </w:hyperlink>
    </w:p>
    <w:p w:rsidR="00A846A2" w:rsidRPr="00A846A2" w:rsidRDefault="00A846A2" w:rsidP="00A846A2">
      <w:pPr>
        <w:shd w:val="clear" w:color="auto" w:fill="FFFFFF"/>
        <w:spacing w:before="100" w:beforeAutospacing="1" w:after="100" w:afterAutospacing="1" w:line="240" w:lineRule="auto"/>
        <w:outlineLvl w:val="2"/>
        <w:rPr>
          <w:rFonts w:eastAsia="Times New Roman" w:cstheme="minorHAnsi"/>
          <w:b/>
          <w:bCs/>
          <w:color w:val="000000"/>
          <w:sz w:val="24"/>
          <w:szCs w:val="24"/>
          <w:lang w:eastAsia="it-IT"/>
        </w:rPr>
      </w:pPr>
      <w:r w:rsidRPr="00A846A2">
        <w:rPr>
          <w:rFonts w:eastAsia="Times New Roman" w:cstheme="minorHAnsi"/>
          <w:b/>
          <w:bCs/>
          <w:color w:val="000000"/>
          <w:sz w:val="24"/>
          <w:szCs w:val="24"/>
          <w:lang w:eastAsia="it-IT"/>
        </w:rPr>
        <w:t>Come avverrà l'erogazione automatica dei bonus</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Sono in corso di definizione le modalità applicative per l'erogazione automatica delle agevolazioni, che saranno oggetto di appositi provvedimenti da parte delle amministrazioni competenti.</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Indipendentemente dai tempi necessari per la predisposizione degli strumenti informatici necessari, il bonus 2021 sarà comunque riconosciuto agli aventi diritto per l'intero periodo di agevolazione, anche mediante il riconoscimento di eventuali quote di bonus già maturate.</w:t>
      </w:r>
    </w:p>
    <w:p w:rsidR="00A846A2" w:rsidRPr="00A846A2" w:rsidRDefault="00A846A2" w:rsidP="00A846A2">
      <w:pPr>
        <w:shd w:val="clear" w:color="auto" w:fill="FFFFFF"/>
        <w:spacing w:before="100" w:beforeAutospacing="1" w:after="100" w:afterAutospacing="1" w:line="240" w:lineRule="auto"/>
        <w:outlineLvl w:val="3"/>
        <w:rPr>
          <w:rFonts w:eastAsia="Times New Roman" w:cstheme="minorHAnsi"/>
          <w:b/>
          <w:bCs/>
          <w:color w:val="000000"/>
          <w:sz w:val="24"/>
          <w:szCs w:val="24"/>
          <w:lang w:eastAsia="it-IT"/>
        </w:rPr>
      </w:pPr>
      <w:r w:rsidRPr="00A846A2">
        <w:rPr>
          <w:rFonts w:eastAsia="Times New Roman" w:cstheme="minorHAnsi"/>
          <w:b/>
          <w:bCs/>
          <w:color w:val="000000"/>
          <w:sz w:val="24"/>
          <w:szCs w:val="24"/>
          <w:lang w:eastAsia="it-IT"/>
        </w:rPr>
        <w:t>Cosa avverrà dei bonus per disagio economico in corso al 31 dicembre 2020</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r w:rsidRPr="00A846A2">
        <w:rPr>
          <w:rFonts w:eastAsia="Times New Roman" w:cstheme="minorHAnsi"/>
          <w:color w:val="000000"/>
          <w:sz w:val="24"/>
          <w:szCs w:val="24"/>
          <w:lang w:eastAsia="it-IT"/>
        </w:rPr>
        <w:t>I bonus 2020 in corso di erogazione al 31 dicembre 2020 continueranno ad essere erogati con le modalità oggi in vigore.</w:t>
      </w:r>
    </w:p>
    <w:tbl>
      <w:tblPr>
        <w:tblW w:w="0" w:type="auto"/>
        <w:tblCellSpacing w:w="0" w:type="dxa"/>
        <w:shd w:val="clear" w:color="auto" w:fill="FFFFFF"/>
        <w:tblCellMar>
          <w:top w:w="15" w:type="dxa"/>
          <w:left w:w="15" w:type="dxa"/>
          <w:bottom w:w="15" w:type="dxa"/>
          <w:right w:w="15" w:type="dxa"/>
        </w:tblCellMar>
        <w:tblLook w:val="04A0"/>
      </w:tblPr>
      <w:tblGrid>
        <w:gridCol w:w="6061"/>
      </w:tblGrid>
      <w:tr w:rsidR="00A846A2" w:rsidRPr="00A846A2" w:rsidTr="00A846A2">
        <w:trPr>
          <w:tblCellSpacing w:w="0" w:type="dxa"/>
        </w:trPr>
        <w:tc>
          <w:tcPr>
            <w:tcW w:w="0" w:type="auto"/>
            <w:shd w:val="clear" w:color="auto" w:fill="FFFFFF"/>
            <w:vAlign w:val="center"/>
            <w:hideMark/>
          </w:tcPr>
          <w:p w:rsidR="00A846A2" w:rsidRPr="00A846A2" w:rsidRDefault="00A846A2" w:rsidP="00A846A2">
            <w:pPr>
              <w:spacing w:after="0" w:line="240" w:lineRule="auto"/>
              <w:rPr>
                <w:rFonts w:eastAsia="Times New Roman" w:cstheme="minorHAnsi"/>
                <w:color w:val="000000"/>
                <w:sz w:val="24"/>
                <w:szCs w:val="24"/>
                <w:lang w:eastAsia="it-IT"/>
              </w:rPr>
            </w:pPr>
            <w:hyperlink r:id="rId7" w:history="1">
              <w:r w:rsidRPr="00A846A2">
                <w:rPr>
                  <w:rFonts w:eastAsia="Times New Roman" w:cstheme="minorHAnsi"/>
                  <w:b/>
                  <w:bCs/>
                  <w:color w:val="0063C6"/>
                  <w:sz w:val="24"/>
                  <w:szCs w:val="24"/>
                  <w:u w:val="single"/>
                  <w:lang w:eastAsia="it-IT"/>
                </w:rPr>
                <w:t>Servizio gratuito di informazioni e assistenza al consumatore</w:t>
              </w:r>
            </w:hyperlink>
          </w:p>
        </w:tc>
      </w:tr>
    </w:tbl>
    <w:p w:rsidR="00A846A2" w:rsidRPr="00A846A2" w:rsidRDefault="00A846A2" w:rsidP="00A846A2">
      <w:pPr>
        <w:spacing w:after="0" w:line="240" w:lineRule="auto"/>
        <w:jc w:val="center"/>
        <w:rPr>
          <w:rFonts w:ascii="Trebuchet MS" w:eastAsia="Times New Roman" w:hAnsi="Trebuchet MS" w:cs="Times New Roman"/>
          <w:b/>
          <w:bCs/>
          <w:color w:val="389E34"/>
          <w:sz w:val="33"/>
          <w:szCs w:val="33"/>
          <w:lang w:eastAsia="it-IT"/>
        </w:rPr>
      </w:pPr>
      <w:bookmarkStart w:id="1" w:name="sii"/>
      <w:bookmarkEnd w:id="1"/>
      <w:r w:rsidRPr="00A846A2">
        <w:rPr>
          <w:rFonts w:ascii="Trebuchet MS" w:eastAsia="Times New Roman" w:hAnsi="Trebuchet MS" w:cs="Times New Roman"/>
          <w:b/>
          <w:bCs/>
          <w:color w:val="389E34"/>
          <w:sz w:val="33"/>
          <w:szCs w:val="33"/>
          <w:lang w:eastAsia="it-IT"/>
        </w:rPr>
        <w:t>800.166.654</w:t>
      </w:r>
    </w:p>
    <w:p w:rsidR="00A846A2" w:rsidRPr="00A846A2" w:rsidRDefault="00A846A2" w:rsidP="00A846A2">
      <w:pPr>
        <w:spacing w:before="100" w:after="40" w:line="240" w:lineRule="auto"/>
        <w:jc w:val="center"/>
        <w:rPr>
          <w:rFonts w:ascii="Trebuchet MS" w:eastAsia="Times New Roman" w:hAnsi="Trebuchet MS" w:cs="Times New Roman"/>
          <w:b/>
          <w:bCs/>
          <w:color w:val="003501"/>
          <w:sz w:val="16"/>
          <w:szCs w:val="16"/>
          <w:lang w:eastAsia="it-IT"/>
        </w:rPr>
      </w:pPr>
      <w:r w:rsidRPr="00A846A2">
        <w:rPr>
          <w:rFonts w:ascii="Trebuchet MS" w:eastAsia="Times New Roman" w:hAnsi="Trebuchet MS" w:cs="Times New Roman"/>
          <w:b/>
          <w:bCs/>
          <w:i/>
          <w:iCs/>
          <w:color w:val="003501"/>
          <w:sz w:val="16"/>
          <w:lang w:eastAsia="it-IT"/>
        </w:rPr>
        <w:t>attivo dalle 8.00 alle 18.00, dal lunedì al venerdì, esclusi i festivi</w:t>
      </w:r>
    </w:p>
    <w:p w:rsidR="00A846A2" w:rsidRPr="00A846A2" w:rsidRDefault="00A846A2" w:rsidP="00A846A2">
      <w:pPr>
        <w:shd w:val="clear" w:color="auto" w:fill="FFFFFF"/>
        <w:spacing w:before="100" w:beforeAutospacing="1" w:after="100" w:afterAutospacing="1" w:line="240" w:lineRule="auto"/>
        <w:rPr>
          <w:rFonts w:eastAsia="Times New Roman" w:cstheme="minorHAnsi"/>
          <w:color w:val="000000"/>
          <w:sz w:val="24"/>
          <w:szCs w:val="24"/>
          <w:lang w:eastAsia="it-IT"/>
        </w:rPr>
      </w:pPr>
      <w:proofErr w:type="spellStart"/>
      <w:r w:rsidRPr="00A846A2">
        <w:rPr>
          <w:rFonts w:eastAsia="Times New Roman" w:cstheme="minorHAnsi"/>
          <w:color w:val="000000"/>
          <w:sz w:val="24"/>
          <w:szCs w:val="24"/>
          <w:lang w:eastAsia="it-IT"/>
        </w:rPr>
        <w:t>*Sistema</w:t>
      </w:r>
      <w:proofErr w:type="spellEnd"/>
      <w:r w:rsidRPr="00A846A2">
        <w:rPr>
          <w:rFonts w:eastAsia="Times New Roman" w:cstheme="minorHAnsi"/>
          <w:color w:val="000000"/>
          <w:sz w:val="24"/>
          <w:szCs w:val="24"/>
          <w:lang w:eastAsia="it-IT"/>
        </w:rPr>
        <w:t xml:space="preserve"> Informativo Integrato (SII) gestito dalla società Acquirente Unico. Il SII è una banca dati informatica che contiene informazioni utili ad individuare le forniture elettriche, gas e i gestori idrici competenti per territorio: l'incrocio dei dati contenuti nelle DSU con quelli contenuti nel registro del SII e nelle banche dati dei gestori idrici consentirà, attraverso opportuni processi e verifiche in fase di definizione da parte dell'Autorità, di individuare le forniture da agevolare e di erogare il bonus agli aventi diritto.</w:t>
      </w:r>
    </w:p>
    <w:p w:rsidR="00BD3FC7" w:rsidRPr="00A846A2" w:rsidRDefault="00A846A2">
      <w:pPr>
        <w:rPr>
          <w:rFonts w:cstheme="minorHAnsi"/>
          <w:sz w:val="24"/>
          <w:szCs w:val="24"/>
        </w:rPr>
      </w:pPr>
    </w:p>
    <w:sectPr w:rsidR="00BD3FC7" w:rsidRPr="00A846A2" w:rsidSect="003B2CA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94F69"/>
    <w:multiLevelType w:val="multilevel"/>
    <w:tmpl w:val="7B3E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15436"/>
    <w:multiLevelType w:val="multilevel"/>
    <w:tmpl w:val="9FE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46A2"/>
    <w:rsid w:val="003B2CA5"/>
    <w:rsid w:val="00437856"/>
    <w:rsid w:val="007252ED"/>
    <w:rsid w:val="00A846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2CA5"/>
  </w:style>
  <w:style w:type="paragraph" w:styleId="Titolo2">
    <w:name w:val="heading 2"/>
    <w:basedOn w:val="Normale"/>
    <w:link w:val="Titolo2Carattere"/>
    <w:uiPriority w:val="9"/>
    <w:qFormat/>
    <w:rsid w:val="00A846A2"/>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A846A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A846A2"/>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A846A2"/>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A846A2"/>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A846A2"/>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A846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846A2"/>
    <w:rPr>
      <w:color w:val="0000FF"/>
      <w:u w:val="single"/>
    </w:rPr>
  </w:style>
  <w:style w:type="paragraph" w:styleId="Testofumetto">
    <w:name w:val="Balloon Text"/>
    <w:basedOn w:val="Normale"/>
    <w:link w:val="TestofumettoCarattere"/>
    <w:uiPriority w:val="99"/>
    <w:semiHidden/>
    <w:unhideWhenUsed/>
    <w:rsid w:val="00A846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46A2"/>
    <w:rPr>
      <w:rFonts w:ascii="Tahoma" w:hAnsi="Tahoma" w:cs="Tahoma"/>
      <w:sz w:val="16"/>
      <w:szCs w:val="16"/>
    </w:rPr>
  </w:style>
  <w:style w:type="character" w:styleId="Enfasicorsivo">
    <w:name w:val="Emphasis"/>
    <w:basedOn w:val="Carpredefinitoparagrafo"/>
    <w:uiPriority w:val="20"/>
    <w:qFormat/>
    <w:rsid w:val="00A846A2"/>
    <w:rPr>
      <w:i/>
      <w:iCs/>
    </w:rPr>
  </w:style>
</w:styles>
</file>

<file path=word/webSettings.xml><?xml version="1.0" encoding="utf-8"?>
<w:webSettings xmlns:r="http://schemas.openxmlformats.org/officeDocument/2006/relationships" xmlns:w="http://schemas.openxmlformats.org/wordprocessingml/2006/main">
  <w:divs>
    <w:div w:id="654915275">
      <w:bodyDiv w:val="1"/>
      <w:marLeft w:val="0"/>
      <w:marRight w:val="0"/>
      <w:marTop w:val="0"/>
      <w:marBottom w:val="0"/>
      <w:divBdr>
        <w:top w:val="none" w:sz="0" w:space="0" w:color="auto"/>
        <w:left w:val="none" w:sz="0" w:space="0" w:color="auto"/>
        <w:bottom w:val="none" w:sz="0" w:space="0" w:color="auto"/>
        <w:right w:val="none" w:sz="0" w:space="0" w:color="auto"/>
      </w:divBdr>
      <w:divsChild>
        <w:div w:id="904413446">
          <w:marLeft w:val="0"/>
          <w:marRight w:val="0"/>
          <w:marTop w:val="0"/>
          <w:marBottom w:val="0"/>
          <w:divBdr>
            <w:top w:val="none" w:sz="0" w:space="0" w:color="auto"/>
            <w:left w:val="none" w:sz="0" w:space="0" w:color="auto"/>
            <w:bottom w:val="none" w:sz="0" w:space="0" w:color="auto"/>
            <w:right w:val="none" w:sz="0" w:space="0" w:color="auto"/>
          </w:divBdr>
          <w:divsChild>
            <w:div w:id="378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5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era.it/it/callcent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era.it/allegati/faq/bonusele_storico.xls" TargetMode="External"/><Relationship Id="rId5" Type="http://schemas.openxmlformats.org/officeDocument/2006/relationships/hyperlink" Target="https://www.arera.it/it/consumatori/ele/bonusele_ec.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michela.pinna</dc:creator>
  <cp:lastModifiedBy>michela.pinna</cp:lastModifiedBy>
  <cp:revision>1</cp:revision>
  <dcterms:created xsi:type="dcterms:W3CDTF">2021-09-28T10:00:00Z</dcterms:created>
  <dcterms:modified xsi:type="dcterms:W3CDTF">2021-09-28T10:06:00Z</dcterms:modified>
</cp:coreProperties>
</file>